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28B27">
      <w:pPr>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庄河市 2025年省财政衔接推进乡村振兴</w:t>
      </w:r>
    </w:p>
    <w:p w14:paraId="232EC4FF">
      <w:pPr>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补助（农村人居环境整治）</w:t>
      </w:r>
    </w:p>
    <w:p w14:paraId="731A2CE6">
      <w:pPr>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项目实施方案</w:t>
      </w:r>
    </w:p>
    <w:p w14:paraId="488D51B1">
      <w:pPr>
        <w:ind w:firstLine="640" w:firstLineChars="200"/>
        <w:rPr>
          <w:rFonts w:hint="eastAsia" w:ascii="仿宋_GB2312" w:hAnsi="仿宋_GB2312" w:eastAsia="仿宋_GB2312" w:cs="仿宋_GB2312"/>
          <w:color w:val="000000"/>
          <w:sz w:val="32"/>
          <w:szCs w:val="32"/>
        </w:rPr>
      </w:pPr>
    </w:p>
    <w:p w14:paraId="0342E54A">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根据《关于下达2025年省财政衔接推进乡村振兴补助资金（农村人居环境整治）的通知》（辽财指农〔2025〕182号）、</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辽宁省农业农村厅辽宁省财政厅关于印发2025年度省财政衔接推进乡村振兴补助（农村人居环境整治）资金实施方案的通知</w:t>
      </w:r>
      <w:r>
        <w:rPr>
          <w:rFonts w:ascii="仿宋_GB2312" w:hAnsi="仿宋_GB2312" w:eastAsia="仿宋_GB2312" w:cs="仿宋_GB2312"/>
          <w:color w:val="000000"/>
          <w:sz w:val="32"/>
          <w:szCs w:val="32"/>
        </w:rPr>
        <w:t>》（辽</w:t>
      </w:r>
      <w:r>
        <w:rPr>
          <w:rFonts w:hint="eastAsia" w:ascii="仿宋_GB2312" w:hAnsi="仿宋_GB2312" w:eastAsia="仿宋_GB2312" w:cs="仿宋_GB2312"/>
          <w:color w:val="000000"/>
          <w:sz w:val="32"/>
          <w:szCs w:val="32"/>
        </w:rPr>
        <w:t>农</w:t>
      </w:r>
      <w:r>
        <w:rPr>
          <w:rFonts w:ascii="仿宋_GB2312" w:hAnsi="仿宋_GB2312" w:eastAsia="仿宋_GB2312" w:cs="仿宋_GB2312"/>
          <w:color w:val="000000"/>
          <w:sz w:val="32"/>
          <w:szCs w:val="32"/>
        </w:rPr>
        <w:t>农〔202</w:t>
      </w:r>
      <w:r>
        <w:rPr>
          <w:rFonts w:hint="eastAsia" w:ascii="仿宋_GB2312" w:hAnsi="仿宋_GB2312" w:eastAsia="仿宋_GB2312" w:cs="仿宋_GB2312"/>
          <w:color w:val="000000"/>
          <w:sz w:val="32"/>
          <w:szCs w:val="32"/>
        </w:rPr>
        <w:t>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98</w:t>
      </w:r>
      <w:r>
        <w:rPr>
          <w:rFonts w:ascii="仿宋_GB2312" w:hAnsi="仿宋_GB2312" w:eastAsia="仿宋_GB2312" w:cs="仿宋_GB2312"/>
          <w:color w:val="000000"/>
          <w:sz w:val="32"/>
          <w:szCs w:val="32"/>
        </w:rPr>
        <w:t>号）和</w:t>
      </w:r>
      <w:r>
        <w:rPr>
          <w:rFonts w:hint="eastAsia" w:ascii="仿宋_GB2312" w:hAnsi="仿宋_GB2312" w:eastAsia="仿宋_GB2312" w:cs="仿宋_GB2312"/>
          <w:color w:val="000000"/>
          <w:sz w:val="32"/>
          <w:szCs w:val="32"/>
        </w:rPr>
        <w:t>《关于2025年省财政衔接推进乡村振兴补助资金（农村人居环境整治）分配意见的函》（大农〔2025〕76号）</w:t>
      </w:r>
      <w:r>
        <w:rPr>
          <w:rFonts w:ascii="仿宋_GB2312" w:hAnsi="仿宋_GB2312" w:eastAsia="仿宋_GB2312" w:cs="仿宋_GB2312"/>
          <w:color w:val="000000"/>
          <w:sz w:val="32"/>
          <w:szCs w:val="32"/>
        </w:rPr>
        <w:t>要求，</w:t>
      </w:r>
      <w:r>
        <w:rPr>
          <w:rFonts w:hint="eastAsia" w:ascii="仿宋_GB2312" w:hAnsi="仿宋_GB2312" w:eastAsia="仿宋_GB2312" w:cs="仿宋_GB2312"/>
          <w:color w:val="000000"/>
          <w:sz w:val="32"/>
          <w:szCs w:val="32"/>
        </w:rPr>
        <w:t>为进一步加强和规范农村人居环境整治资金使用管理，推动农村人居环境整治项目有序实施，切实提升资金使用效益，</w:t>
      </w:r>
      <w:r>
        <w:rPr>
          <w:rFonts w:ascii="仿宋_GB2312" w:hAnsi="仿宋_GB2312" w:eastAsia="仿宋_GB2312" w:cs="仿宋_GB2312"/>
          <w:color w:val="000000"/>
          <w:sz w:val="32"/>
          <w:szCs w:val="32"/>
        </w:rPr>
        <w:t xml:space="preserve">制定本实施方案。 </w:t>
      </w:r>
    </w:p>
    <w:p w14:paraId="109F074D">
      <w:pPr>
        <w:ind w:firstLine="640" w:firstLineChars="200"/>
        <w:rPr>
          <w:rFonts w:ascii="Times New Roman" w:hAnsi="Times New Roman" w:eastAsia="黑体"/>
          <w:sz w:val="32"/>
          <w:szCs w:val="32"/>
        </w:rPr>
      </w:pPr>
      <w:r>
        <w:rPr>
          <w:rFonts w:hint="eastAsia" w:ascii="Times New Roman" w:hAnsi="Times New Roman" w:eastAsia="黑体"/>
          <w:sz w:val="32"/>
          <w:szCs w:val="32"/>
        </w:rPr>
        <w:t>一、总体要求</w:t>
      </w:r>
    </w:p>
    <w:p w14:paraId="3F4770F2">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深入贯彻习近平总书记关于巩固拓展脱贫攻坚成果同乡村振兴有效衔接的重要指示批示精神，认真贯彻落实党中央、国务院决策部署，进一步优化资金使用结构，</w:t>
      </w:r>
      <w:r>
        <w:rPr>
          <w:rFonts w:hint="eastAsia" w:ascii="Times New Roman" w:eastAsia="仿宋_GB2312"/>
          <w:sz w:val="32"/>
          <w:szCs w:val="32"/>
        </w:rPr>
        <w:t>改善</w:t>
      </w:r>
      <w:r>
        <w:rPr>
          <w:rFonts w:ascii="Times New Roman" w:eastAsia="仿宋_GB2312"/>
          <w:sz w:val="32"/>
          <w:szCs w:val="32"/>
        </w:rPr>
        <w:t>农村人居环境，提升村内小型公益性基础设施建设水平，</w:t>
      </w:r>
      <w:r>
        <w:rPr>
          <w:rFonts w:hint="eastAsia" w:ascii="Times New Roman" w:hAnsi="Times New Roman" w:eastAsia="仿宋_GB2312"/>
          <w:sz w:val="32"/>
          <w:szCs w:val="32"/>
        </w:rPr>
        <w:t>创新资金使用方式，强化资金项目管理，确保项目建设质量，为全面推进乡村振兴提供有力支撑。</w:t>
      </w:r>
    </w:p>
    <w:p w14:paraId="2ABAA796">
      <w:pPr>
        <w:ind w:firstLine="640" w:firstLineChars="200"/>
        <w:rPr>
          <w:rFonts w:ascii="黑体" w:hAnsi="宋体" w:eastAsia="黑体" w:cs="黑体"/>
          <w:color w:val="000000"/>
          <w:sz w:val="32"/>
          <w:szCs w:val="32"/>
        </w:rPr>
      </w:pPr>
      <w:r>
        <w:rPr>
          <w:rFonts w:hint="eastAsia" w:ascii="黑体" w:hAnsi="黑体" w:eastAsia="黑体" w:cs="黑体"/>
          <w:color w:val="000000"/>
          <w:sz w:val="32"/>
          <w:szCs w:val="32"/>
        </w:rPr>
        <w:t>二、目标任务和支持方向</w:t>
      </w:r>
      <w:r>
        <w:rPr>
          <w:rFonts w:ascii="黑体" w:hAnsi="宋体" w:eastAsia="黑体" w:cs="黑体"/>
          <w:color w:val="000000"/>
          <w:sz w:val="32"/>
          <w:szCs w:val="32"/>
        </w:rPr>
        <w:t xml:space="preserve"> </w:t>
      </w:r>
    </w:p>
    <w:p w14:paraId="3C046CAB">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级下达我市2025年省财政衔接推进乡村振兴补助（农村人居环境整治）资金390万元，资金支持补齐必要的、群众亟需的、不超越现有发展阶段的农村人居环境整治和村内小型公益性基础设施建设短板，主要用于水、电、路、网以及垃圾清运、污水处理等改善生产生活条件的基础设施。</w:t>
      </w:r>
    </w:p>
    <w:p w14:paraId="5290EEBE">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前期经过村级申报、乡镇初审、市级审定的申报流程，</w:t>
      </w:r>
      <w:bookmarkStart w:id="0" w:name="OLE_LINK17"/>
      <w:bookmarkStart w:id="1" w:name="OLE_LINK14"/>
      <w:bookmarkStart w:id="2" w:name="OLE_LINK10"/>
      <w:bookmarkStart w:id="3" w:name="OLE_LINK11"/>
      <w:r>
        <w:rPr>
          <w:rFonts w:hint="eastAsia" w:ascii="仿宋_GB2312" w:hAnsi="仿宋_GB2312" w:eastAsia="仿宋_GB2312" w:cs="仿宋_GB2312"/>
          <w:sz w:val="32"/>
          <w:szCs w:val="32"/>
        </w:rPr>
        <w:t>村、乡、市三级公示无异议后，</w:t>
      </w:r>
      <w:bookmarkEnd w:id="0"/>
      <w:bookmarkEnd w:id="1"/>
      <w:r>
        <w:rPr>
          <w:rFonts w:hint="eastAsia" w:ascii="仿宋_GB2312" w:hAnsi="仿宋_GB2312" w:eastAsia="仿宋_GB2312" w:cs="仿宋_GB2312"/>
          <w:sz w:val="32"/>
          <w:szCs w:val="32"/>
        </w:rPr>
        <w:t>将全市25个项目录入“全国防止返贫监测和衔接推进乡村振兴信息系统”的“巩固脱贫成果和衔接推进乡村振兴项目库”中。根据大连市农业农村局工作要求，该资金优先支持2025年辽宁省美丽宜居村和党组织领导核心作用发挥明显、具备一定资金配套能力、项目谋划设计成熟的行政村。经过筛选，</w:t>
      </w:r>
      <w:bookmarkEnd w:id="2"/>
      <w:bookmarkEnd w:id="3"/>
      <w:r>
        <w:rPr>
          <w:rFonts w:hint="eastAsia" w:ascii="仿宋_GB2312" w:hAnsi="仿宋_GB2312" w:eastAsia="仿宋_GB2312" w:cs="仿宋_GB2312"/>
          <w:sz w:val="32"/>
          <w:szCs w:val="32"/>
        </w:rPr>
        <w:t>优</w:t>
      </w:r>
      <w:r>
        <w:rPr>
          <w:rFonts w:hint="eastAsia" w:ascii="仿宋_GB2312" w:hAnsi="仿宋_GB2312" w:eastAsia="仿宋_GB2312" w:cs="仿宋_GB2312"/>
          <w:color w:val="000000"/>
          <w:sz w:val="32"/>
          <w:szCs w:val="32"/>
        </w:rPr>
        <w:t>先支持</w:t>
      </w:r>
      <w:r>
        <w:rPr>
          <w:rFonts w:hint="eastAsia" w:ascii="仿宋_GB2312" w:hAnsi="仿宋_GB2312" w:eastAsia="仿宋_GB2312" w:cs="仿宋_GB2312"/>
          <w:kern w:val="0"/>
          <w:sz w:val="32"/>
          <w:szCs w:val="32"/>
        </w:rPr>
        <w:t>8个</w:t>
      </w:r>
      <w:r>
        <w:rPr>
          <w:rFonts w:hint="eastAsia" w:ascii="仿宋_GB2312" w:hAnsi="仿宋_GB2312" w:eastAsia="仿宋_GB2312" w:cs="仿宋_GB2312"/>
          <w:color w:val="000000"/>
          <w:sz w:val="32"/>
          <w:szCs w:val="32"/>
        </w:rPr>
        <w:t>行政村开展10个乡村建设行动项目建设，资金不足部分由相关镇、村自筹解决（具体分配详见附件）。</w:t>
      </w:r>
    </w:p>
    <w:p w14:paraId="434D8F17">
      <w:pPr>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三、</w:t>
      </w:r>
      <w:r>
        <w:rPr>
          <w:rFonts w:hint="eastAsia" w:ascii="黑体" w:hAnsi="黑体" w:eastAsia="黑体" w:cs="黑体"/>
          <w:sz w:val="32"/>
          <w:szCs w:val="32"/>
        </w:rPr>
        <w:t>项目奖补对象</w:t>
      </w:r>
    </w:p>
    <w:p w14:paraId="3FC9E2EF">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建设项目从2025年度巩固拓展脱贫攻坚成果和乡村振兴储备项目库中选择，分别在</w:t>
      </w:r>
      <w:bookmarkStart w:id="4" w:name="OLE_LINK25"/>
      <w:bookmarkStart w:id="5" w:name="OLE_LINK26"/>
      <w:r>
        <w:rPr>
          <w:rFonts w:hint="eastAsia" w:ascii="仿宋_GB2312" w:hAnsi="仿宋_GB2312" w:eastAsia="仿宋_GB2312" w:cs="仿宋_GB2312"/>
          <w:kern w:val="0"/>
          <w:sz w:val="32"/>
          <w:szCs w:val="32"/>
        </w:rPr>
        <w:t>大营镇四家村、仙人洞镇马道口村、城山镇古城村</w:t>
      </w:r>
      <w:bookmarkEnd w:id="4"/>
      <w:bookmarkEnd w:id="5"/>
      <w:r>
        <w:rPr>
          <w:rFonts w:hint="eastAsia" w:ascii="仿宋_GB2312" w:hAnsi="仿宋_GB2312" w:eastAsia="仿宋_GB2312" w:cs="仿宋_GB2312"/>
          <w:kern w:val="0"/>
          <w:sz w:val="32"/>
          <w:szCs w:val="32"/>
        </w:rPr>
        <w:t>、太平岭乡大赵村、黑岛镇黄贵成村、桂云花乡三道岭村、步云山乡谦泰村、长岭镇大华村</w:t>
      </w:r>
      <w:r>
        <w:rPr>
          <w:rFonts w:hint="eastAsia" w:ascii="仿宋_GB2312" w:hAnsi="仿宋_GB2312" w:eastAsia="仿宋_GB2312" w:cs="仿宋_GB2312"/>
          <w:color w:val="000000"/>
          <w:sz w:val="32"/>
          <w:szCs w:val="32"/>
        </w:rPr>
        <w:t>实施农村公共服务项目7个、农村基础设施项目3个。</w:t>
      </w:r>
    </w:p>
    <w:p w14:paraId="78CB1152">
      <w:pPr>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四、项目</w:t>
      </w:r>
      <w:r>
        <w:rPr>
          <w:rFonts w:hint="eastAsia" w:ascii="黑体" w:hAnsi="宋体" w:eastAsia="黑体" w:cs="黑体"/>
          <w:color w:val="000000"/>
          <w:sz w:val="32"/>
          <w:szCs w:val="32"/>
        </w:rPr>
        <w:t>实施要求</w:t>
      </w:r>
      <w:r>
        <w:rPr>
          <w:rFonts w:ascii="黑体" w:hAnsi="宋体" w:eastAsia="黑体" w:cs="黑体"/>
          <w:color w:val="000000"/>
          <w:sz w:val="32"/>
          <w:szCs w:val="32"/>
        </w:rPr>
        <w:t xml:space="preserve"> </w:t>
      </w:r>
    </w:p>
    <w:p w14:paraId="42EC5EC2">
      <w:pPr>
        <w:widowControl/>
        <w:adjustRightInd w:val="0"/>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该项目以乡镇作为项目实施主体和责任人，负责组织实施和监督、检查验收、总结等具体项目管理工作。</w:t>
      </w:r>
    </w:p>
    <w:p w14:paraId="78AF8841">
      <w:pPr>
        <w:widowControl/>
        <w:adjustRightInd w:val="0"/>
        <w:ind w:firstLine="643" w:firstLineChars="200"/>
        <w:rPr>
          <w:rFonts w:ascii="仿宋_GB2312" w:hAnsi="仿宋_GB2312" w:eastAsia="仿宋_GB2312" w:cs="仿宋_GB2312"/>
          <w:color w:val="000000"/>
          <w:sz w:val="32"/>
          <w:szCs w:val="32"/>
        </w:rPr>
      </w:pPr>
      <w:r>
        <w:rPr>
          <w:rFonts w:ascii="Times New Roman" w:hAnsi="Times New Roman" w:eastAsia="楷体"/>
          <w:b/>
          <w:sz w:val="32"/>
          <w:szCs w:val="32"/>
        </w:rPr>
        <w:t>（一）项目实施。</w:t>
      </w:r>
      <w:r>
        <w:rPr>
          <w:rFonts w:hint="eastAsia" w:ascii="仿宋_GB2312" w:hAnsi="仿宋_GB2312" w:eastAsia="仿宋_GB2312" w:cs="仿宋_GB2312"/>
          <w:color w:val="000000"/>
          <w:sz w:val="32"/>
          <w:szCs w:val="32"/>
        </w:rPr>
        <w:t>乡镇要按照前期民主议定的建设内容，按照《辽宁省衔接推进乡村振兴补助资金管理办法》（辽财农规〔2021〕4号）、《关于进一步加强财政衔接推进乡村振兴补助资金使用管理的通知》（辽财农〔2022〕104号）和政府采购等政府购买服务和相关财政规定，确定有资质的设计、施工单位和监理单位。</w:t>
      </w:r>
      <w:r>
        <w:rPr>
          <w:rFonts w:hint="eastAsia" w:ascii="仿宋_GB2312" w:hAnsi="Times New Roman" w:eastAsia="仿宋_GB2312"/>
          <w:sz w:val="32"/>
          <w:szCs w:val="32"/>
        </w:rPr>
        <w:t>对于基建类项目可结合实际由乡镇组织采取以工代赈等方式实施。项目要求在</w:t>
      </w:r>
      <w:r>
        <w:rPr>
          <w:rFonts w:hint="eastAsia" w:ascii="仿宋_GB2312" w:hAnsi="仿宋_GB2312" w:eastAsia="仿宋_GB2312" w:cs="仿宋_GB2312"/>
          <w:color w:val="000000"/>
          <w:sz w:val="32"/>
          <w:szCs w:val="32"/>
        </w:rPr>
        <w:t xml:space="preserve">9月底前竣工。 </w:t>
      </w:r>
    </w:p>
    <w:p w14:paraId="3D41C268">
      <w:pPr>
        <w:widowControl/>
        <w:adjustRightInd w:val="0"/>
        <w:ind w:firstLine="643" w:firstLineChars="200"/>
        <w:rPr>
          <w:rFonts w:ascii="仿宋_GB2312" w:hAnsi="仿宋_GB2312" w:eastAsia="仿宋_GB2312" w:cs="仿宋_GB2312"/>
          <w:color w:val="000000"/>
          <w:sz w:val="32"/>
          <w:szCs w:val="32"/>
        </w:rPr>
      </w:pPr>
      <w:r>
        <w:rPr>
          <w:rFonts w:hint="eastAsia" w:ascii="Times New Roman" w:hAnsi="Times New Roman" w:eastAsia="楷体"/>
          <w:b/>
          <w:sz w:val="32"/>
          <w:szCs w:val="32"/>
        </w:rPr>
        <w:t>（二）项目验收。</w:t>
      </w:r>
      <w:r>
        <w:rPr>
          <w:rFonts w:hint="eastAsia" w:ascii="仿宋_GB2312" w:hAnsi="仿宋_GB2312" w:eastAsia="仿宋_GB2312" w:cs="仿宋_GB2312"/>
          <w:color w:val="000000"/>
          <w:sz w:val="32"/>
          <w:szCs w:val="32"/>
        </w:rPr>
        <w:t>项目建成后，由乡镇组织参建单位、项目村进行验收，验收后将项目完成情况、竣工资料、乡镇验收报告等资料报市农业农村部门备案。</w:t>
      </w:r>
    </w:p>
    <w:p w14:paraId="2A04A793">
      <w:pPr>
        <w:widowControl/>
        <w:adjustRightInd w:val="0"/>
        <w:ind w:firstLine="643" w:firstLineChars="200"/>
        <w:rPr>
          <w:rFonts w:ascii="仿宋_GB2312" w:hAnsi="仿宋_GB2312" w:eastAsia="仿宋_GB2312" w:cs="仿宋_GB2312"/>
          <w:color w:val="000000"/>
          <w:sz w:val="32"/>
          <w:szCs w:val="32"/>
        </w:rPr>
      </w:pPr>
      <w:r>
        <w:rPr>
          <w:rFonts w:hint="eastAsia" w:ascii="Times New Roman" w:hAnsi="Times New Roman" w:eastAsia="楷体"/>
          <w:b/>
          <w:sz w:val="32"/>
          <w:szCs w:val="32"/>
        </w:rPr>
        <w:t>（三）资产移交。</w:t>
      </w:r>
      <w:r>
        <w:rPr>
          <w:rFonts w:hint="eastAsia" w:ascii="仿宋_GB2312" w:hAnsi="仿宋_GB2312" w:eastAsia="仿宋_GB2312" w:cs="仿宋_GB2312"/>
          <w:color w:val="000000"/>
          <w:sz w:val="32"/>
          <w:szCs w:val="32"/>
        </w:rPr>
        <w:t>验收合格后，乡镇组织参建单位将项目移交行政村。本项目形成的资产要纳入村级集体资产管理台账，实行“谁受益，谁管护”，由村级负责日常管护、维护。</w:t>
      </w:r>
    </w:p>
    <w:p w14:paraId="57A0B4D2">
      <w:pPr>
        <w:widowControl/>
        <w:adjustRightInd w:val="0"/>
        <w:ind w:firstLine="643" w:firstLineChars="200"/>
        <w:rPr>
          <w:rFonts w:ascii="仿宋_GB2312" w:hAnsi="仿宋_GB2312" w:eastAsia="仿宋_GB2312" w:cs="仿宋_GB2312"/>
          <w:color w:val="000000"/>
          <w:sz w:val="32"/>
          <w:szCs w:val="32"/>
        </w:rPr>
      </w:pPr>
      <w:r>
        <w:rPr>
          <w:rFonts w:hint="eastAsia" w:ascii="Times New Roman" w:hAnsi="Times New Roman" w:eastAsia="楷体"/>
          <w:b/>
          <w:sz w:val="32"/>
          <w:szCs w:val="32"/>
        </w:rPr>
        <w:t>（四）档案管理。</w:t>
      </w:r>
      <w:r>
        <w:rPr>
          <w:rFonts w:hint="eastAsia" w:ascii="仿宋_GB2312" w:hAnsi="仿宋_GB2312" w:eastAsia="仿宋_GB2312" w:cs="仿宋_GB2312"/>
          <w:color w:val="000000"/>
          <w:sz w:val="32"/>
          <w:szCs w:val="32"/>
        </w:rPr>
        <w:t>乡镇要做好档案管理等工作，按职权将奖补项目“三公示一公开”相关资料、政府采购等、建设前后照片、监理和竣工验收报告等原始资料汇总归档，由镇村两级留档备查。</w:t>
      </w:r>
    </w:p>
    <w:p w14:paraId="2A2E8AEB">
      <w:pPr>
        <w:adjustRightInd w:val="0"/>
        <w:snapToGrid w:val="0"/>
        <w:spacing w:line="540" w:lineRule="exact"/>
        <w:ind w:firstLine="640" w:firstLineChars="200"/>
        <w:rPr>
          <w:rFonts w:ascii="黑体" w:hAnsi="宋体" w:eastAsia="黑体" w:cs="黑体"/>
          <w:color w:val="000000"/>
          <w:sz w:val="32"/>
          <w:szCs w:val="32"/>
        </w:rPr>
      </w:pPr>
      <w:r>
        <w:rPr>
          <w:rFonts w:hint="eastAsia" w:ascii="黑体" w:hAnsi="黑体" w:eastAsia="黑体" w:cs="黑体"/>
          <w:color w:val="000000"/>
          <w:sz w:val="32"/>
          <w:szCs w:val="32"/>
        </w:rPr>
        <w:t>四、</w:t>
      </w:r>
      <w:r>
        <w:rPr>
          <w:rFonts w:ascii="黑体" w:hAnsi="宋体" w:eastAsia="黑体" w:cs="黑体"/>
          <w:color w:val="000000"/>
          <w:sz w:val="32"/>
          <w:szCs w:val="32"/>
        </w:rPr>
        <w:t>工作要求</w:t>
      </w:r>
    </w:p>
    <w:p w14:paraId="0A6F84CE">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ascii="楷体_GB2312" w:hAnsi="楷体_GB2312" w:eastAsia="楷体_GB2312" w:cs="楷体_GB2312"/>
          <w:color w:val="000000"/>
          <w:sz w:val="32"/>
          <w:szCs w:val="32"/>
        </w:rPr>
        <w:t>加强组织领导。</w:t>
      </w:r>
      <w:r>
        <w:rPr>
          <w:rFonts w:hint="eastAsia" w:ascii="仿宋_GB2312" w:hAnsi="仿宋_GB2312" w:eastAsia="仿宋_GB2312" w:cs="仿宋_GB2312"/>
          <w:color w:val="000000"/>
          <w:sz w:val="32"/>
          <w:szCs w:val="32"/>
        </w:rPr>
        <w:t>相关街道要高度重视农村人居环境整治资金使用及项目实施管理等工作，要提高政治站位，强化组织领导。有关部门要各负其责、密切配合，</w:t>
      </w:r>
      <w:r>
        <w:rPr>
          <w:rFonts w:ascii="仿宋_GB2312" w:hAnsi="仿宋_GB2312" w:eastAsia="仿宋_GB2312" w:cs="仿宋_GB2312"/>
          <w:color w:val="000000"/>
          <w:sz w:val="32"/>
          <w:szCs w:val="32"/>
        </w:rPr>
        <w:t>农业农村部门要发挥统筹协调作用，加强监督检查，推进项目建设。</w:t>
      </w:r>
    </w:p>
    <w:p w14:paraId="4FF84BFF">
      <w:pPr>
        <w:widowControl/>
        <w:adjustRightInd w:val="0"/>
        <w:ind w:firstLine="640" w:firstLineChars="200"/>
        <w:rPr>
          <w:rFonts w:ascii="Times New Roman" w:hAnsi="Times New Roman" w:eastAsia="仿宋_GB2312"/>
          <w:sz w:val="32"/>
          <w:szCs w:val="32"/>
        </w:rPr>
      </w:pPr>
      <w:r>
        <w:rPr>
          <w:rFonts w:hint="eastAsia" w:ascii="仿宋_GB2312" w:hAnsi="仿宋_GB2312" w:eastAsia="仿宋_GB2312" w:cs="仿宋_GB2312"/>
          <w:color w:val="000000"/>
          <w:sz w:val="32"/>
          <w:szCs w:val="32"/>
        </w:rPr>
        <w:t>（二）</w:t>
      </w:r>
      <w:r>
        <w:rPr>
          <w:rFonts w:ascii="楷体_GB2312" w:hAnsi="楷体_GB2312" w:eastAsia="楷体_GB2312" w:cs="楷体_GB2312"/>
          <w:color w:val="000000"/>
          <w:sz w:val="32"/>
          <w:szCs w:val="32"/>
        </w:rPr>
        <w:t>加强资金监管。</w:t>
      </w:r>
      <w:r>
        <w:rPr>
          <w:rFonts w:hint="eastAsia" w:ascii="仿宋_GB2312" w:hAnsi="仿宋_GB2312" w:eastAsia="仿宋_GB2312" w:cs="仿宋_GB2312"/>
          <w:color w:val="000000"/>
          <w:sz w:val="32"/>
          <w:szCs w:val="32"/>
        </w:rPr>
        <w:t>各相关单位</w:t>
      </w:r>
      <w:r>
        <w:rPr>
          <w:rFonts w:ascii="仿宋_GB2312" w:hAnsi="仿宋_GB2312" w:eastAsia="仿宋_GB2312" w:cs="仿宋_GB2312"/>
          <w:color w:val="000000"/>
          <w:sz w:val="32"/>
          <w:szCs w:val="32"/>
        </w:rPr>
        <w:t>要严格资金使用管理，根据项目进度及时办理资金拨付，专项资金不得挪作他用。</w:t>
      </w:r>
      <w:r>
        <w:rPr>
          <w:rFonts w:hint="eastAsia" w:ascii="Times New Roman" w:hAnsi="Times New Roman" w:eastAsia="仿宋_GB2312"/>
          <w:sz w:val="32"/>
          <w:szCs w:val="32"/>
        </w:rPr>
        <w:t>项目验收合格后，项目单位要据实拨付资金，确保按时完成绩效目标。</w:t>
      </w:r>
    </w:p>
    <w:p w14:paraId="37E6E91E">
      <w:pPr>
        <w:snapToGrid w:val="0"/>
        <w:spacing w:line="560" w:lineRule="exact"/>
        <w:ind w:firstLine="640" w:firstLineChars="200"/>
        <w:rPr>
          <w:rFonts w:ascii="Times New Roman" w:hAnsi="Times New Roman" w:eastAsia="仿宋_GB2312"/>
          <w:sz w:val="32"/>
          <w:szCs w:val="32"/>
        </w:rPr>
      </w:pPr>
      <w:r>
        <w:rPr>
          <w:rFonts w:hint="eastAsia" w:ascii="楷体_GB2312" w:hAnsi="楷体_GB2312" w:eastAsia="楷体_GB2312" w:cs="楷体_GB2312"/>
          <w:color w:val="000000"/>
          <w:sz w:val="32"/>
          <w:szCs w:val="32"/>
        </w:rPr>
        <w:t>（三）</w:t>
      </w:r>
      <w:r>
        <w:rPr>
          <w:rFonts w:ascii="楷体_GB2312" w:hAnsi="楷体_GB2312" w:eastAsia="楷体_GB2312" w:cs="楷体_GB2312"/>
          <w:color w:val="000000"/>
          <w:sz w:val="32"/>
          <w:szCs w:val="32"/>
        </w:rPr>
        <w:t>加强督导考核。</w:t>
      </w:r>
      <w:r>
        <w:rPr>
          <w:rFonts w:ascii="Times New Roman" w:hAnsi="Times New Roman" w:eastAsia="仿宋_GB2312"/>
          <w:sz w:val="32"/>
          <w:szCs w:val="32"/>
        </w:rPr>
        <w:t>依托巩固拓展脱贫攻坚成果和乡村振兴信息系统，加强日常监测</w:t>
      </w:r>
      <w:r>
        <w:rPr>
          <w:rFonts w:hint="eastAsia" w:ascii="Times New Roman" w:hAnsi="Times New Roman" w:eastAsia="仿宋_GB2312"/>
          <w:sz w:val="32"/>
          <w:szCs w:val="32"/>
        </w:rPr>
        <w:t>和</w:t>
      </w:r>
      <w:r>
        <w:rPr>
          <w:rFonts w:ascii="Times New Roman" w:hAnsi="Times New Roman" w:eastAsia="仿宋_GB2312"/>
          <w:sz w:val="32"/>
          <w:szCs w:val="32"/>
        </w:rPr>
        <w:t>跟踪调度，掌握实施工作进度</w:t>
      </w:r>
      <w:r>
        <w:rPr>
          <w:rFonts w:hint="eastAsia" w:ascii="Times New Roman" w:hAnsi="Times New Roman" w:eastAsia="仿宋_GB2312"/>
          <w:sz w:val="32"/>
          <w:szCs w:val="32"/>
        </w:rPr>
        <w:t>，</w:t>
      </w:r>
      <w:r>
        <w:rPr>
          <w:rFonts w:ascii="Times New Roman" w:hAnsi="Times New Roman" w:eastAsia="仿宋_GB2312"/>
          <w:sz w:val="32"/>
          <w:szCs w:val="32"/>
        </w:rPr>
        <w:t>及时更新资金</w:t>
      </w:r>
      <w:r>
        <w:rPr>
          <w:rFonts w:hint="eastAsia" w:ascii="Times New Roman" w:hAnsi="Times New Roman" w:eastAsia="仿宋_GB2312"/>
          <w:sz w:val="32"/>
          <w:szCs w:val="32"/>
        </w:rPr>
        <w:t>支出</w:t>
      </w:r>
      <w:r>
        <w:rPr>
          <w:rFonts w:ascii="Times New Roman" w:hAnsi="Times New Roman" w:eastAsia="仿宋_GB2312"/>
          <w:sz w:val="32"/>
          <w:szCs w:val="32"/>
        </w:rPr>
        <w:t>等数据</w:t>
      </w:r>
      <w:r>
        <w:rPr>
          <w:rFonts w:hint="eastAsia" w:ascii="Times New Roman" w:hAnsi="Times New Roman" w:eastAsia="仿宋_GB2312"/>
          <w:sz w:val="32"/>
          <w:szCs w:val="32"/>
        </w:rPr>
        <w:t>。</w:t>
      </w:r>
    </w:p>
    <w:p w14:paraId="57AB6EB1">
      <w:pPr>
        <w:snapToGrid w:val="0"/>
        <w:spacing w:line="560" w:lineRule="exact"/>
        <w:ind w:firstLine="640" w:firstLineChars="200"/>
        <w:rPr>
          <w:rFonts w:ascii="Times New Roman" w:hAnsi="Times New Roman" w:eastAsia="仿宋_GB2312"/>
          <w:sz w:val="32"/>
          <w:szCs w:val="32"/>
        </w:rPr>
      </w:pPr>
    </w:p>
    <w:p w14:paraId="76A51612">
      <w:pPr>
        <w:snapToGrid w:val="0"/>
        <w:spacing w:line="560" w:lineRule="exact"/>
        <w:ind w:firstLine="640" w:firstLineChars="200"/>
        <w:rPr>
          <w:rFonts w:ascii="仿宋_GB2312" w:hAnsi="仿宋_GB2312" w:eastAsia="仿宋_GB2312" w:cs="仿宋_GB2312"/>
          <w:color w:val="000000"/>
          <w:sz w:val="31"/>
          <w:szCs w:val="31"/>
        </w:rPr>
      </w:pPr>
      <w:r>
        <w:rPr>
          <w:rFonts w:ascii="仿宋_GB2312" w:hAnsi="仿宋_GB2312" w:eastAsia="仿宋_GB2312" w:cs="仿宋_GB2312"/>
          <w:color w:val="000000"/>
          <w:sz w:val="32"/>
          <w:szCs w:val="32"/>
        </w:rPr>
        <w:t>附件：</w:t>
      </w:r>
      <w:bookmarkStart w:id="6" w:name="OLE_LINK37"/>
      <w:bookmarkStart w:id="7" w:name="OLE_LINK36"/>
      <w:r>
        <w:rPr>
          <w:rFonts w:hint="eastAsia" w:ascii="仿宋_GB2312" w:hAnsi="仿宋_GB2312" w:eastAsia="仿宋_GB2312" w:cs="仿宋_GB2312"/>
          <w:color w:val="000000"/>
          <w:sz w:val="32"/>
          <w:szCs w:val="32"/>
        </w:rPr>
        <w:t>庄河市 2025年省财政衔接推进乡村振兴补助（农村人居环境整治）项目建设及资金分配表</w:t>
      </w:r>
      <w:bookmarkEnd w:id="6"/>
      <w:bookmarkEnd w:id="7"/>
    </w:p>
    <w:p w14:paraId="63850BBD">
      <w:pPr>
        <w:pStyle w:val="2"/>
        <w:rPr>
          <w:rFonts w:ascii="仿宋_GB2312" w:hAnsi="仿宋_GB2312" w:eastAsia="仿宋_GB2312" w:cs="仿宋_GB2312"/>
          <w:color w:val="000000"/>
          <w:sz w:val="31"/>
          <w:szCs w:val="31"/>
        </w:rPr>
      </w:pPr>
    </w:p>
    <w:p w14:paraId="10EA324D">
      <w:pPr>
        <w:pStyle w:val="2"/>
        <w:rPr>
          <w:rFonts w:ascii="仿宋_GB2312" w:hAnsi="仿宋_GB2312" w:eastAsia="仿宋_GB2312" w:cs="仿宋_GB2312"/>
          <w:color w:val="000000"/>
          <w:sz w:val="31"/>
          <w:szCs w:val="31"/>
        </w:rPr>
      </w:pPr>
    </w:p>
    <w:p w14:paraId="0DB39F58">
      <w:pPr>
        <w:pStyle w:val="2"/>
        <w:rPr>
          <w:rFonts w:ascii="仿宋_GB2312" w:hAnsi="仿宋_GB2312" w:eastAsia="仿宋_GB2312" w:cs="仿宋_GB2312"/>
          <w:color w:val="000000"/>
          <w:sz w:val="31"/>
          <w:szCs w:val="31"/>
        </w:rPr>
      </w:pPr>
    </w:p>
    <w:p w14:paraId="2669BC14">
      <w:pPr>
        <w:pStyle w:val="2"/>
        <w:rPr>
          <w:rFonts w:ascii="仿宋_GB2312" w:hAnsi="仿宋_GB2312" w:eastAsia="仿宋_GB2312" w:cs="仿宋_GB2312"/>
          <w:color w:val="000000"/>
          <w:sz w:val="31"/>
          <w:szCs w:val="31"/>
        </w:rPr>
      </w:pPr>
    </w:p>
    <w:p w14:paraId="0815269D">
      <w:pPr>
        <w:pStyle w:val="2"/>
        <w:rPr>
          <w:rFonts w:ascii="仿宋_GB2312" w:hAnsi="仿宋_GB2312" w:eastAsia="仿宋_GB2312" w:cs="仿宋_GB2312"/>
          <w:color w:val="000000"/>
          <w:sz w:val="31"/>
          <w:szCs w:val="31"/>
        </w:rPr>
      </w:pPr>
    </w:p>
    <w:p w14:paraId="1EAF5186">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中共庄河市委农村工作领导小组办公室</w:t>
      </w:r>
    </w:p>
    <w:p w14:paraId="5774FD59">
      <w:pPr>
        <w:ind w:firstLine="640"/>
        <w:rPr>
          <w:rFonts w:ascii="仿宋_GB2312" w:hAnsi="仿宋_GB2312" w:eastAsia="仿宋_GB2312" w:cs="仿宋_GB2312"/>
          <w:color w:val="000000"/>
          <w:sz w:val="31"/>
          <w:szCs w:val="31"/>
        </w:rPr>
      </w:pPr>
      <w:r>
        <w:rPr>
          <w:rFonts w:hint="eastAsia" w:ascii="仿宋_GB2312" w:hAnsi="仿宋_GB2312" w:eastAsia="仿宋_GB2312" w:cs="仿宋_GB2312"/>
          <w:sz w:val="32"/>
          <w:szCs w:val="32"/>
        </w:rPr>
        <w:t xml:space="preserve">                                2025年6月</w:t>
      </w:r>
      <w:r>
        <w:rPr>
          <w:rFonts w:hint="eastAsia" w:ascii="仿宋_GB2312" w:hAnsi="仿宋_GB2312" w:eastAsia="仿宋_GB2312" w:cs="仿宋_GB2312"/>
          <w:sz w:val="32"/>
          <w:szCs w:val="32"/>
          <w:lang w:val="en-US" w:eastAsia="zh-CN"/>
        </w:rPr>
        <w:t>5</w:t>
      </w:r>
      <w:bookmarkStart w:id="9" w:name="_GoBack"/>
      <w:bookmarkEnd w:id="9"/>
      <w:r>
        <w:rPr>
          <w:rFonts w:hint="eastAsia" w:ascii="仿宋_GB2312" w:hAnsi="仿宋_GB2312" w:eastAsia="仿宋_GB2312" w:cs="仿宋_GB2312"/>
          <w:sz w:val="32"/>
          <w:szCs w:val="32"/>
        </w:rPr>
        <w:t>日</w:t>
      </w:r>
    </w:p>
    <w:p w14:paraId="4E5C9CE0">
      <w:pPr>
        <w:pStyle w:val="2"/>
        <w:rPr>
          <w:rFonts w:ascii="仿宋_GB2312" w:hAnsi="仿宋_GB2312" w:eastAsia="仿宋_GB2312" w:cs="仿宋_GB2312"/>
          <w:color w:val="000000"/>
          <w:sz w:val="31"/>
          <w:szCs w:val="31"/>
        </w:rPr>
        <w:sectPr>
          <w:pgSz w:w="11906" w:h="16838"/>
          <w:pgMar w:top="1440" w:right="1800" w:bottom="1440" w:left="1800" w:header="851" w:footer="992" w:gutter="0"/>
          <w:cols w:space="425" w:num="1"/>
          <w:docGrid w:type="lines" w:linePitch="312" w:charSpace="0"/>
        </w:sectPr>
      </w:pPr>
    </w:p>
    <w:p w14:paraId="1E08C41E">
      <w:pPr>
        <w:pStyle w:val="2"/>
        <w:rPr>
          <w:rFonts w:ascii="仿宋_GB2312" w:hAnsi="仿宋_GB2312" w:eastAsia="仿宋_GB2312" w:cs="仿宋_GB2312"/>
          <w:color w:val="000000"/>
          <w:sz w:val="31"/>
          <w:szCs w:val="31"/>
        </w:rPr>
      </w:pPr>
      <w:r>
        <w:rPr>
          <w:rFonts w:hint="eastAsia" w:ascii="仿宋_GB2312" w:hAnsi="仿宋_GB2312" w:eastAsia="仿宋_GB2312" w:cs="仿宋_GB2312"/>
          <w:color w:val="000000"/>
          <w:sz w:val="31"/>
          <w:szCs w:val="31"/>
        </w:rPr>
        <w:t>附件</w:t>
      </w:r>
    </w:p>
    <w:tbl>
      <w:tblPr>
        <w:tblStyle w:val="3"/>
        <w:tblW w:w="13564" w:type="dxa"/>
        <w:tblInd w:w="93" w:type="dxa"/>
        <w:tblLayout w:type="autofit"/>
        <w:tblCellMar>
          <w:top w:w="0" w:type="dxa"/>
          <w:left w:w="108" w:type="dxa"/>
          <w:bottom w:w="0" w:type="dxa"/>
          <w:right w:w="108" w:type="dxa"/>
        </w:tblCellMar>
      </w:tblPr>
      <w:tblGrid>
        <w:gridCol w:w="582"/>
        <w:gridCol w:w="1560"/>
        <w:gridCol w:w="2126"/>
        <w:gridCol w:w="3260"/>
        <w:gridCol w:w="1701"/>
        <w:gridCol w:w="3260"/>
        <w:gridCol w:w="1075"/>
      </w:tblGrid>
      <w:tr w14:paraId="55D42AB7">
        <w:tblPrEx>
          <w:tblCellMar>
            <w:top w:w="0" w:type="dxa"/>
            <w:left w:w="108" w:type="dxa"/>
            <w:bottom w:w="0" w:type="dxa"/>
            <w:right w:w="108" w:type="dxa"/>
          </w:tblCellMar>
        </w:tblPrEx>
        <w:trPr>
          <w:trHeight w:val="524" w:hRule="atLeast"/>
        </w:trPr>
        <w:tc>
          <w:tcPr>
            <w:tcW w:w="13564" w:type="dxa"/>
            <w:gridSpan w:val="7"/>
            <w:tcBorders>
              <w:top w:val="nil"/>
              <w:left w:val="nil"/>
              <w:bottom w:val="nil"/>
              <w:right w:val="nil"/>
            </w:tcBorders>
            <w:shd w:val="clear" w:color="auto" w:fill="auto"/>
            <w:vAlign w:val="center"/>
          </w:tcPr>
          <w:p w14:paraId="311A7FF1">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rPr>
              <w:t>庄河市 2025年省财政衔接推进乡村振兴补助（农村人居环境整治）项目建设及资金分配表</w:t>
            </w:r>
          </w:p>
        </w:tc>
      </w:tr>
      <w:tr w14:paraId="34923E00">
        <w:tblPrEx>
          <w:tblCellMar>
            <w:top w:w="0" w:type="dxa"/>
            <w:left w:w="108" w:type="dxa"/>
            <w:bottom w:w="0" w:type="dxa"/>
            <w:right w:w="108" w:type="dxa"/>
          </w:tblCellMar>
        </w:tblPrEx>
        <w:trPr>
          <w:trHeight w:val="516"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3B57">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序号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DD23">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项目类型</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49CB">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项目二级类型</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7089">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项目子类型</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01F4">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项目地点</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20FF">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项目建设内容</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5004">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补助资金</w:t>
            </w:r>
            <w:r>
              <w:rPr>
                <w:rFonts w:hint="eastAsia" w:ascii="宋体" w:hAnsi="宋体" w:eastAsia="宋体" w:cs="宋体"/>
                <w:b/>
                <w:bCs/>
                <w:color w:val="000000"/>
                <w:kern w:val="0"/>
                <w:sz w:val="18"/>
                <w:szCs w:val="18"/>
              </w:rPr>
              <w:t>（万元）</w:t>
            </w:r>
          </w:p>
        </w:tc>
      </w:tr>
      <w:tr w14:paraId="433AEAA1">
        <w:tblPrEx>
          <w:tblCellMar>
            <w:top w:w="0" w:type="dxa"/>
            <w:left w:w="108" w:type="dxa"/>
            <w:bottom w:w="0" w:type="dxa"/>
            <w:right w:w="108" w:type="dxa"/>
          </w:tblCellMar>
        </w:tblPrEx>
        <w:trPr>
          <w:trHeight w:val="28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927A">
            <w:pPr>
              <w:widowControl/>
              <w:jc w:val="center"/>
              <w:textAlignment w:val="center"/>
              <w:rPr>
                <w:rFonts w:ascii="仿宋_GB2312" w:hAnsi="宋体" w:eastAsia="仿宋_GB2312" w:cs="宋体"/>
                <w:color w:val="000000"/>
                <w:szCs w:val="21"/>
              </w:rPr>
            </w:pPr>
            <w:bookmarkStart w:id="8" w:name="_Hlk199146676"/>
            <w:r>
              <w:rPr>
                <w:rFonts w:hint="eastAsia" w:ascii="仿宋_GB2312" w:hAnsi="宋体" w:eastAsia="仿宋_GB2312" w:cs="宋体"/>
                <w:color w:val="000000"/>
                <w:szCs w:val="21"/>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448C">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7AE4">
            <w:pPr>
              <w:jc w:val="left"/>
              <w:rPr>
                <w:rFonts w:ascii="仿宋_GB2312" w:hAnsi="宋体" w:eastAsia="仿宋_GB2312" w:cs="宋体"/>
                <w:szCs w:val="21"/>
              </w:rPr>
            </w:pPr>
            <w:r>
              <w:rPr>
                <w:rFonts w:hint="eastAsia" w:ascii="仿宋_GB2312" w:eastAsia="仿宋_GB2312"/>
                <w:szCs w:val="21"/>
              </w:rPr>
              <w:t>农村公共服务</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1F59">
            <w:pPr>
              <w:jc w:val="left"/>
              <w:rPr>
                <w:rFonts w:ascii="仿宋_GB2312" w:hAnsi="宋体" w:eastAsia="仿宋_GB2312" w:cs="宋体"/>
                <w:szCs w:val="21"/>
              </w:rPr>
            </w:pPr>
            <w:r>
              <w:rPr>
                <w:rFonts w:hint="eastAsia" w:ascii="仿宋_GB2312" w:eastAsia="仿宋_GB2312"/>
                <w:szCs w:val="21"/>
              </w:rPr>
              <w:t>公共照明设施</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405A">
            <w:pPr>
              <w:jc w:val="left"/>
              <w:rPr>
                <w:rFonts w:ascii="仿宋_GB2312" w:hAnsi="宋体" w:eastAsia="仿宋_GB2312" w:cs="宋体"/>
                <w:szCs w:val="21"/>
              </w:rPr>
            </w:pPr>
            <w:r>
              <w:rPr>
                <w:rFonts w:hint="eastAsia" w:ascii="仿宋_GB2312" w:eastAsia="仿宋_GB2312"/>
                <w:szCs w:val="21"/>
              </w:rPr>
              <w:t>大营镇四家村</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2004">
            <w:pPr>
              <w:jc w:val="left"/>
              <w:rPr>
                <w:rFonts w:ascii="仿宋_GB2312" w:eastAsia="仿宋_GB2312"/>
                <w:szCs w:val="21"/>
              </w:rPr>
            </w:pPr>
            <w:r>
              <w:rPr>
                <w:rFonts w:hint="eastAsia" w:ascii="仿宋_GB2312" w:eastAsia="仿宋_GB2312"/>
                <w:szCs w:val="21"/>
              </w:rPr>
              <w:t>新建路灯300盏。</w:t>
            </w:r>
          </w:p>
        </w:tc>
        <w:tc>
          <w:tcPr>
            <w:tcW w:w="1075" w:type="dxa"/>
            <w:tcBorders>
              <w:top w:val="single" w:color="000000" w:sz="4" w:space="0"/>
              <w:left w:val="single" w:color="000000" w:sz="4" w:space="0"/>
              <w:bottom w:val="single" w:color="auto" w:sz="4" w:space="0"/>
              <w:right w:val="single" w:color="000000" w:sz="4" w:space="0"/>
            </w:tcBorders>
            <w:shd w:val="clear" w:color="auto" w:fill="auto"/>
            <w:vAlign w:val="center"/>
          </w:tcPr>
          <w:p w14:paraId="6B6C520D">
            <w:pPr>
              <w:jc w:val="center"/>
              <w:rPr>
                <w:rFonts w:ascii="仿宋_GB2312" w:eastAsia="仿宋_GB2312"/>
                <w:szCs w:val="21"/>
              </w:rPr>
            </w:pPr>
            <w:r>
              <w:rPr>
                <w:rFonts w:hint="eastAsia" w:ascii="仿宋_GB2312" w:eastAsia="仿宋_GB2312"/>
                <w:szCs w:val="21"/>
              </w:rPr>
              <w:t>50</w:t>
            </w:r>
          </w:p>
        </w:tc>
      </w:tr>
      <w:tr w14:paraId="34A459C8">
        <w:tblPrEx>
          <w:tblCellMar>
            <w:top w:w="0" w:type="dxa"/>
            <w:left w:w="108" w:type="dxa"/>
            <w:bottom w:w="0" w:type="dxa"/>
            <w:right w:w="108" w:type="dxa"/>
          </w:tblCellMar>
        </w:tblPrEx>
        <w:trPr>
          <w:trHeight w:val="325"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0E80">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2</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D1C1">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1C60">
            <w:pPr>
              <w:jc w:val="left"/>
              <w:rPr>
                <w:rFonts w:ascii="仿宋_GB2312" w:hAnsi="宋体" w:eastAsia="仿宋_GB2312" w:cs="宋体"/>
                <w:szCs w:val="21"/>
              </w:rPr>
            </w:pPr>
            <w:r>
              <w:rPr>
                <w:rFonts w:hint="eastAsia" w:ascii="仿宋_GB2312" w:eastAsia="仿宋_GB2312"/>
                <w:szCs w:val="21"/>
              </w:rPr>
              <w:t>农村公共服务</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7FB3">
            <w:pPr>
              <w:jc w:val="left"/>
              <w:rPr>
                <w:rFonts w:ascii="仿宋_GB2312" w:hAnsi="宋体" w:eastAsia="仿宋_GB2312" w:cs="宋体"/>
                <w:szCs w:val="21"/>
              </w:rPr>
            </w:pPr>
            <w:r>
              <w:rPr>
                <w:rFonts w:hint="eastAsia" w:ascii="仿宋_GB2312" w:eastAsia="仿宋_GB2312"/>
                <w:szCs w:val="21"/>
              </w:rPr>
              <w:t>公共照明设施</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BD4">
            <w:pPr>
              <w:jc w:val="left"/>
              <w:rPr>
                <w:rFonts w:ascii="仿宋_GB2312" w:hAnsi="宋体" w:eastAsia="仿宋_GB2312" w:cs="宋体"/>
                <w:szCs w:val="21"/>
              </w:rPr>
            </w:pPr>
            <w:r>
              <w:rPr>
                <w:rFonts w:hint="eastAsia" w:ascii="仿宋_GB2312" w:eastAsia="仿宋_GB2312"/>
                <w:szCs w:val="21"/>
              </w:rPr>
              <w:t>仙人洞镇马道口村</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964E">
            <w:pPr>
              <w:jc w:val="left"/>
              <w:rPr>
                <w:rFonts w:ascii="仿宋_GB2312" w:eastAsia="仿宋_GB2312"/>
                <w:szCs w:val="21"/>
              </w:rPr>
            </w:pPr>
            <w:r>
              <w:rPr>
                <w:rFonts w:hint="eastAsia" w:ascii="仿宋_GB2312" w:eastAsia="仿宋_GB2312"/>
                <w:szCs w:val="21"/>
              </w:rPr>
              <w:t>维修路灯174盏,新建路灯163盏。</w:t>
            </w:r>
          </w:p>
        </w:tc>
        <w:tc>
          <w:tcPr>
            <w:tcW w:w="1075" w:type="dxa"/>
            <w:tcBorders>
              <w:top w:val="single" w:color="auto" w:sz="4" w:space="0"/>
              <w:left w:val="single" w:color="000000" w:sz="4" w:space="0"/>
              <w:bottom w:val="single" w:color="000000" w:sz="4" w:space="0"/>
              <w:right w:val="single" w:color="000000" w:sz="4" w:space="0"/>
            </w:tcBorders>
            <w:shd w:val="clear" w:color="auto" w:fill="auto"/>
            <w:vAlign w:val="center"/>
          </w:tcPr>
          <w:p w14:paraId="3EE6FEB9">
            <w:pPr>
              <w:jc w:val="center"/>
              <w:rPr>
                <w:rFonts w:ascii="仿宋_GB2312" w:eastAsia="仿宋_GB2312"/>
                <w:szCs w:val="21"/>
              </w:rPr>
            </w:pPr>
            <w:r>
              <w:rPr>
                <w:rFonts w:hint="eastAsia" w:ascii="仿宋_GB2312" w:eastAsia="仿宋_GB2312"/>
                <w:szCs w:val="21"/>
              </w:rPr>
              <w:t>50</w:t>
            </w:r>
          </w:p>
        </w:tc>
      </w:tr>
      <w:tr w14:paraId="7DC5D4DC">
        <w:tblPrEx>
          <w:tblCellMar>
            <w:top w:w="0" w:type="dxa"/>
            <w:left w:w="108" w:type="dxa"/>
            <w:bottom w:w="0" w:type="dxa"/>
            <w:right w:w="108" w:type="dxa"/>
          </w:tblCellMar>
        </w:tblPrEx>
        <w:trPr>
          <w:trHeight w:val="353"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B6F5">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3</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354B">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9584">
            <w:pPr>
              <w:jc w:val="left"/>
              <w:rPr>
                <w:rFonts w:ascii="仿宋_GB2312" w:hAnsi="宋体" w:eastAsia="仿宋_GB2312" w:cs="宋体"/>
                <w:szCs w:val="21"/>
              </w:rPr>
            </w:pPr>
            <w:r>
              <w:rPr>
                <w:rFonts w:hint="eastAsia" w:ascii="仿宋_GB2312" w:eastAsia="仿宋_GB2312"/>
                <w:szCs w:val="21"/>
              </w:rPr>
              <w:t>农村公共服务</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B06E">
            <w:pPr>
              <w:jc w:val="left"/>
              <w:rPr>
                <w:rFonts w:ascii="仿宋_GB2312" w:hAnsi="宋体" w:eastAsia="仿宋_GB2312" w:cs="宋体"/>
                <w:szCs w:val="21"/>
              </w:rPr>
            </w:pPr>
            <w:r>
              <w:rPr>
                <w:rFonts w:hint="eastAsia" w:ascii="仿宋_GB2312" w:eastAsia="仿宋_GB2312"/>
                <w:szCs w:val="21"/>
              </w:rPr>
              <w:t>公共照明设施</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130C">
            <w:pPr>
              <w:jc w:val="left"/>
              <w:rPr>
                <w:rFonts w:ascii="仿宋_GB2312" w:hAnsi="宋体" w:eastAsia="仿宋_GB2312" w:cs="宋体"/>
                <w:szCs w:val="21"/>
              </w:rPr>
            </w:pPr>
            <w:r>
              <w:rPr>
                <w:rFonts w:hint="eastAsia" w:ascii="仿宋_GB2312" w:eastAsia="仿宋_GB2312"/>
                <w:szCs w:val="21"/>
              </w:rPr>
              <w:t>城山镇古城村</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1138">
            <w:pPr>
              <w:jc w:val="left"/>
              <w:rPr>
                <w:rFonts w:ascii="仿宋_GB2312" w:eastAsia="仿宋_GB2312"/>
                <w:szCs w:val="21"/>
              </w:rPr>
            </w:pPr>
            <w:r>
              <w:rPr>
                <w:rFonts w:hint="eastAsia" w:ascii="仿宋_GB2312" w:eastAsia="仿宋_GB2312"/>
                <w:szCs w:val="21"/>
              </w:rPr>
              <w:t>新建路灯500盏。</w:t>
            </w:r>
          </w:p>
        </w:tc>
        <w:tc>
          <w:tcPr>
            <w:tcW w:w="1075" w:type="dxa"/>
            <w:tcBorders>
              <w:top w:val="single" w:color="000000" w:sz="4" w:space="0"/>
              <w:left w:val="single" w:color="000000" w:sz="4" w:space="0"/>
              <w:bottom w:val="single" w:color="auto" w:sz="4" w:space="0"/>
              <w:right w:val="single" w:color="000000" w:sz="4" w:space="0"/>
            </w:tcBorders>
            <w:shd w:val="clear" w:color="auto" w:fill="auto"/>
            <w:vAlign w:val="center"/>
          </w:tcPr>
          <w:p w14:paraId="51B23A5E">
            <w:pPr>
              <w:jc w:val="center"/>
              <w:rPr>
                <w:rFonts w:ascii="仿宋_GB2312" w:eastAsia="仿宋_GB2312"/>
                <w:szCs w:val="21"/>
              </w:rPr>
            </w:pPr>
            <w:r>
              <w:rPr>
                <w:rFonts w:hint="eastAsia" w:ascii="仿宋_GB2312" w:eastAsia="仿宋_GB2312"/>
                <w:szCs w:val="21"/>
              </w:rPr>
              <w:t>50</w:t>
            </w:r>
          </w:p>
        </w:tc>
      </w:tr>
      <w:tr w14:paraId="5EA6482E">
        <w:tblPrEx>
          <w:tblCellMar>
            <w:top w:w="0" w:type="dxa"/>
            <w:left w:w="108" w:type="dxa"/>
            <w:bottom w:w="0" w:type="dxa"/>
            <w:right w:w="108" w:type="dxa"/>
          </w:tblCellMar>
        </w:tblPrEx>
        <w:trPr>
          <w:trHeight w:val="33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5DF9">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3255">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CDF6">
            <w:pPr>
              <w:jc w:val="left"/>
              <w:rPr>
                <w:rFonts w:ascii="仿宋_GB2312" w:hAnsi="宋体" w:eastAsia="仿宋_GB2312" w:cs="宋体"/>
                <w:szCs w:val="21"/>
              </w:rPr>
            </w:pPr>
            <w:r>
              <w:rPr>
                <w:rFonts w:hint="eastAsia" w:ascii="仿宋_GB2312" w:eastAsia="仿宋_GB2312"/>
                <w:szCs w:val="21"/>
              </w:rPr>
              <w:t>农村公共服务</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06B4">
            <w:pPr>
              <w:jc w:val="left"/>
              <w:rPr>
                <w:rFonts w:ascii="仿宋_GB2312" w:hAnsi="宋体" w:eastAsia="仿宋_GB2312" w:cs="宋体"/>
                <w:szCs w:val="21"/>
              </w:rPr>
            </w:pPr>
            <w:r>
              <w:rPr>
                <w:rFonts w:hint="eastAsia" w:ascii="仿宋_GB2312" w:eastAsia="仿宋_GB2312"/>
                <w:szCs w:val="21"/>
              </w:rPr>
              <w:t>公共照明设施</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B3EF">
            <w:pPr>
              <w:jc w:val="left"/>
              <w:rPr>
                <w:rFonts w:ascii="仿宋_GB2312" w:hAnsi="宋体" w:eastAsia="仿宋_GB2312" w:cs="宋体"/>
                <w:szCs w:val="21"/>
              </w:rPr>
            </w:pPr>
            <w:r>
              <w:rPr>
                <w:rFonts w:hint="eastAsia" w:ascii="仿宋_GB2312" w:eastAsia="仿宋_GB2312"/>
                <w:szCs w:val="21"/>
              </w:rPr>
              <w:t>太平岭乡大赵村</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93A2">
            <w:pPr>
              <w:jc w:val="left"/>
              <w:rPr>
                <w:rFonts w:ascii="仿宋_GB2312" w:eastAsia="仿宋_GB2312"/>
                <w:szCs w:val="21"/>
              </w:rPr>
            </w:pPr>
            <w:r>
              <w:rPr>
                <w:rFonts w:hint="eastAsia" w:ascii="仿宋_GB2312" w:eastAsia="仿宋_GB2312"/>
                <w:szCs w:val="21"/>
              </w:rPr>
              <w:t>新建路灯250盏。</w:t>
            </w:r>
          </w:p>
        </w:tc>
        <w:tc>
          <w:tcPr>
            <w:tcW w:w="1075" w:type="dxa"/>
            <w:tcBorders>
              <w:top w:val="single" w:color="auto" w:sz="4" w:space="0"/>
              <w:left w:val="single" w:color="000000" w:sz="4" w:space="0"/>
              <w:bottom w:val="single" w:color="auto" w:sz="4" w:space="0"/>
              <w:right w:val="single" w:color="000000" w:sz="4" w:space="0"/>
            </w:tcBorders>
            <w:shd w:val="clear" w:color="auto" w:fill="auto"/>
            <w:vAlign w:val="center"/>
          </w:tcPr>
          <w:p w14:paraId="138EA603">
            <w:pPr>
              <w:jc w:val="center"/>
              <w:rPr>
                <w:rFonts w:ascii="仿宋_GB2312" w:eastAsia="仿宋_GB2312"/>
                <w:szCs w:val="21"/>
              </w:rPr>
            </w:pPr>
            <w:r>
              <w:rPr>
                <w:rFonts w:hint="eastAsia" w:ascii="仿宋_GB2312" w:eastAsia="仿宋_GB2312"/>
                <w:szCs w:val="21"/>
              </w:rPr>
              <w:t>50</w:t>
            </w:r>
          </w:p>
        </w:tc>
      </w:tr>
      <w:tr w14:paraId="6A0C0C92">
        <w:tblPrEx>
          <w:tblCellMar>
            <w:top w:w="0" w:type="dxa"/>
            <w:left w:w="108" w:type="dxa"/>
            <w:bottom w:w="0" w:type="dxa"/>
            <w:right w:w="108" w:type="dxa"/>
          </w:tblCellMar>
        </w:tblPrEx>
        <w:trPr>
          <w:trHeight w:val="577"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5DC4">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5</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AC75">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5856">
            <w:pPr>
              <w:jc w:val="left"/>
              <w:rPr>
                <w:rFonts w:ascii="仿宋_GB2312" w:hAnsi="宋体" w:eastAsia="仿宋_GB2312" w:cs="宋体"/>
                <w:szCs w:val="21"/>
              </w:rPr>
            </w:pPr>
            <w:r>
              <w:rPr>
                <w:rFonts w:hint="eastAsia" w:ascii="仿宋_GB2312" w:eastAsia="仿宋_GB2312"/>
                <w:szCs w:val="21"/>
              </w:rPr>
              <w:t>农村基础设施（含产业配套基础设备）</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ECD7">
            <w:pPr>
              <w:jc w:val="left"/>
              <w:rPr>
                <w:rFonts w:ascii="仿宋_GB2312" w:hAnsi="宋体" w:eastAsia="仿宋_GB2312" w:cs="宋体"/>
                <w:szCs w:val="21"/>
              </w:rPr>
            </w:pPr>
            <w:r>
              <w:rPr>
                <w:rFonts w:hint="eastAsia" w:ascii="仿宋_GB2312" w:eastAsia="仿宋_GB2312"/>
                <w:szCs w:val="21"/>
              </w:rPr>
              <w:t>农村道路建设（通村路、通户路、小型桥梁等）</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EA7C">
            <w:pPr>
              <w:jc w:val="left"/>
              <w:rPr>
                <w:rFonts w:ascii="仿宋_GB2312" w:hAnsi="宋体" w:eastAsia="仿宋_GB2312" w:cs="宋体"/>
                <w:szCs w:val="21"/>
              </w:rPr>
            </w:pPr>
            <w:r>
              <w:rPr>
                <w:rFonts w:hint="eastAsia" w:ascii="仿宋_GB2312" w:eastAsia="仿宋_GB2312"/>
                <w:szCs w:val="21"/>
              </w:rPr>
              <w:t>黑岛镇黄贵城村</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15A4">
            <w:pPr>
              <w:jc w:val="left"/>
              <w:rPr>
                <w:rFonts w:ascii="仿宋_GB2312" w:eastAsia="仿宋_GB2312"/>
                <w:szCs w:val="21"/>
              </w:rPr>
            </w:pPr>
            <w:r>
              <w:rPr>
                <w:rFonts w:hint="eastAsia" w:ascii="仿宋_GB2312" w:eastAsia="仿宋_GB2312"/>
                <w:szCs w:val="21"/>
              </w:rPr>
              <w:t>维修硬化路10000平方米。</w:t>
            </w:r>
          </w:p>
        </w:tc>
        <w:tc>
          <w:tcPr>
            <w:tcW w:w="1075" w:type="dxa"/>
            <w:tcBorders>
              <w:top w:val="single" w:color="auto" w:sz="4" w:space="0"/>
              <w:left w:val="single" w:color="000000" w:sz="4" w:space="0"/>
              <w:bottom w:val="single" w:color="auto" w:sz="4" w:space="0"/>
              <w:right w:val="single" w:color="000000" w:sz="4" w:space="0"/>
            </w:tcBorders>
            <w:shd w:val="clear" w:color="auto" w:fill="auto"/>
            <w:vAlign w:val="center"/>
          </w:tcPr>
          <w:p w14:paraId="69230BFB">
            <w:pPr>
              <w:jc w:val="center"/>
              <w:rPr>
                <w:rFonts w:ascii="仿宋_GB2312" w:eastAsia="仿宋_GB2312"/>
                <w:szCs w:val="21"/>
              </w:rPr>
            </w:pPr>
            <w:r>
              <w:rPr>
                <w:rFonts w:hint="eastAsia" w:ascii="仿宋_GB2312" w:eastAsia="仿宋_GB2312"/>
                <w:szCs w:val="21"/>
              </w:rPr>
              <w:t>50</w:t>
            </w:r>
          </w:p>
        </w:tc>
      </w:tr>
      <w:tr w14:paraId="1563E38B">
        <w:tblPrEx>
          <w:tblCellMar>
            <w:top w:w="0" w:type="dxa"/>
            <w:left w:w="108" w:type="dxa"/>
            <w:bottom w:w="0" w:type="dxa"/>
            <w:right w:w="108" w:type="dxa"/>
          </w:tblCellMar>
        </w:tblPrEx>
        <w:trPr>
          <w:trHeight w:val="605"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6FB5">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6</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C483">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42BE">
            <w:pPr>
              <w:jc w:val="left"/>
              <w:rPr>
                <w:rFonts w:ascii="仿宋_GB2312" w:hAnsi="宋体" w:eastAsia="仿宋_GB2312" w:cs="宋体"/>
                <w:szCs w:val="21"/>
              </w:rPr>
            </w:pPr>
            <w:r>
              <w:rPr>
                <w:rFonts w:hint="eastAsia" w:ascii="仿宋_GB2312" w:eastAsia="仿宋_GB2312"/>
                <w:szCs w:val="21"/>
              </w:rPr>
              <w:t>农村基础设施（含产业配套基础设备）</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FD52">
            <w:pPr>
              <w:jc w:val="left"/>
              <w:rPr>
                <w:rFonts w:ascii="仿宋_GB2312" w:hAnsi="宋体" w:eastAsia="仿宋_GB2312" w:cs="宋体"/>
                <w:szCs w:val="21"/>
              </w:rPr>
            </w:pPr>
            <w:r>
              <w:rPr>
                <w:rFonts w:hint="eastAsia" w:ascii="仿宋_GB2312" w:eastAsia="仿宋_GB2312"/>
                <w:szCs w:val="21"/>
              </w:rPr>
              <w:t>农村道路建设（通村路、通户路、小型桥梁等）</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69B2">
            <w:pPr>
              <w:jc w:val="left"/>
              <w:rPr>
                <w:rFonts w:ascii="仿宋_GB2312" w:hAnsi="宋体" w:eastAsia="仿宋_GB2312" w:cs="宋体"/>
                <w:szCs w:val="21"/>
              </w:rPr>
            </w:pPr>
            <w:r>
              <w:rPr>
                <w:rFonts w:hint="eastAsia" w:ascii="仿宋_GB2312" w:eastAsia="仿宋_GB2312"/>
                <w:szCs w:val="21"/>
              </w:rPr>
              <w:t>桂云花乡三道岭村</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4149">
            <w:pPr>
              <w:jc w:val="left"/>
              <w:rPr>
                <w:rFonts w:ascii="仿宋_GB2312" w:eastAsia="仿宋_GB2312"/>
                <w:szCs w:val="21"/>
              </w:rPr>
            </w:pPr>
            <w:r>
              <w:rPr>
                <w:rFonts w:hint="eastAsia" w:ascii="仿宋_GB2312" w:eastAsia="仿宋_GB2312"/>
                <w:szCs w:val="21"/>
              </w:rPr>
              <w:t>维修硬化路约7000平方米。</w:t>
            </w:r>
          </w:p>
        </w:tc>
        <w:tc>
          <w:tcPr>
            <w:tcW w:w="1075" w:type="dxa"/>
            <w:tcBorders>
              <w:top w:val="single" w:color="auto" w:sz="4" w:space="0"/>
              <w:left w:val="single" w:color="000000" w:sz="4" w:space="0"/>
              <w:bottom w:val="single" w:color="000000" w:sz="4" w:space="0"/>
              <w:right w:val="single" w:color="000000" w:sz="4" w:space="0"/>
            </w:tcBorders>
            <w:shd w:val="clear" w:color="auto" w:fill="auto"/>
            <w:vAlign w:val="center"/>
          </w:tcPr>
          <w:p w14:paraId="5F569D62">
            <w:pPr>
              <w:jc w:val="center"/>
              <w:rPr>
                <w:rFonts w:ascii="仿宋_GB2312" w:eastAsia="仿宋_GB2312"/>
                <w:szCs w:val="21"/>
              </w:rPr>
            </w:pPr>
            <w:r>
              <w:rPr>
                <w:rFonts w:hint="eastAsia" w:ascii="仿宋_GB2312" w:eastAsia="仿宋_GB2312"/>
                <w:szCs w:val="21"/>
              </w:rPr>
              <w:t>50</w:t>
            </w:r>
          </w:p>
        </w:tc>
      </w:tr>
      <w:tr w14:paraId="563AF43E">
        <w:tblPrEx>
          <w:tblCellMar>
            <w:top w:w="0" w:type="dxa"/>
            <w:left w:w="108" w:type="dxa"/>
            <w:bottom w:w="0" w:type="dxa"/>
            <w:right w:w="108" w:type="dxa"/>
          </w:tblCellMar>
        </w:tblPrEx>
        <w:trPr>
          <w:trHeight w:val="1158"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D357">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7</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C1CA">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AE79">
            <w:pPr>
              <w:jc w:val="left"/>
              <w:rPr>
                <w:rFonts w:ascii="仿宋_GB2312" w:hAnsi="宋体" w:eastAsia="仿宋_GB2312" w:cs="宋体"/>
                <w:szCs w:val="21"/>
              </w:rPr>
            </w:pPr>
            <w:r>
              <w:rPr>
                <w:rFonts w:hint="eastAsia" w:ascii="仿宋_GB2312" w:eastAsia="仿宋_GB2312"/>
                <w:szCs w:val="21"/>
              </w:rPr>
              <w:t>农村公共服务</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6EC7">
            <w:pPr>
              <w:jc w:val="left"/>
              <w:rPr>
                <w:rFonts w:ascii="仿宋_GB2312" w:hAnsi="宋体" w:eastAsia="仿宋_GB2312" w:cs="宋体"/>
                <w:szCs w:val="21"/>
              </w:rPr>
            </w:pPr>
            <w:r>
              <w:rPr>
                <w:rFonts w:hint="eastAsia" w:ascii="仿宋_GB2312" w:eastAsia="仿宋_GB2312"/>
                <w:szCs w:val="21"/>
              </w:rPr>
              <w:t>其他（便民综合服务设施、文化活动广场、体育设施、村级客运站、农村公益性殡葬设施建设等）</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F081">
            <w:pPr>
              <w:jc w:val="left"/>
              <w:rPr>
                <w:rFonts w:ascii="仿宋_GB2312" w:hAnsi="宋体" w:eastAsia="仿宋_GB2312" w:cs="宋体"/>
                <w:szCs w:val="21"/>
              </w:rPr>
            </w:pPr>
            <w:r>
              <w:rPr>
                <w:rFonts w:hint="eastAsia" w:ascii="仿宋_GB2312" w:eastAsia="仿宋_GB2312"/>
                <w:szCs w:val="21"/>
              </w:rPr>
              <w:t>步云山乡谦泰村</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35E1">
            <w:pPr>
              <w:jc w:val="left"/>
              <w:rPr>
                <w:rFonts w:ascii="仿宋_GB2312" w:eastAsia="仿宋_GB2312"/>
                <w:szCs w:val="21"/>
              </w:rPr>
            </w:pPr>
            <w:r>
              <w:rPr>
                <w:rFonts w:hint="eastAsia" w:ascii="仿宋_GB2312" w:eastAsia="仿宋_GB2312"/>
                <w:szCs w:val="21"/>
              </w:rPr>
              <w:t>新建健身广场约660平方米。</w:t>
            </w:r>
          </w:p>
        </w:tc>
        <w:tc>
          <w:tcPr>
            <w:tcW w:w="1075" w:type="dxa"/>
            <w:tcBorders>
              <w:top w:val="single" w:color="000000" w:sz="4" w:space="0"/>
              <w:left w:val="single" w:color="000000" w:sz="4" w:space="0"/>
              <w:bottom w:val="single" w:color="auto" w:sz="4" w:space="0"/>
              <w:right w:val="single" w:color="000000" w:sz="4" w:space="0"/>
            </w:tcBorders>
            <w:shd w:val="clear" w:color="auto" w:fill="auto"/>
            <w:vAlign w:val="center"/>
          </w:tcPr>
          <w:p w14:paraId="0FB1BFD7">
            <w:pPr>
              <w:jc w:val="center"/>
              <w:rPr>
                <w:rFonts w:ascii="仿宋_GB2312" w:eastAsia="仿宋_GB2312"/>
                <w:szCs w:val="21"/>
              </w:rPr>
            </w:pPr>
            <w:r>
              <w:rPr>
                <w:rFonts w:hint="eastAsia" w:ascii="仿宋_GB2312" w:eastAsia="仿宋_GB2312"/>
                <w:szCs w:val="21"/>
              </w:rPr>
              <w:t>45</w:t>
            </w:r>
          </w:p>
        </w:tc>
      </w:tr>
      <w:tr w14:paraId="640ED7C7">
        <w:tblPrEx>
          <w:tblCellMar>
            <w:top w:w="0" w:type="dxa"/>
            <w:left w:w="108" w:type="dxa"/>
            <w:bottom w:w="0" w:type="dxa"/>
            <w:right w:w="108" w:type="dxa"/>
          </w:tblCellMar>
        </w:tblPrEx>
        <w:trPr>
          <w:trHeight w:val="571"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8250">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8</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64E8">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C57F">
            <w:pPr>
              <w:jc w:val="left"/>
              <w:rPr>
                <w:rFonts w:ascii="仿宋_GB2312" w:hAnsi="宋体" w:eastAsia="仿宋_GB2312" w:cs="宋体"/>
                <w:szCs w:val="21"/>
              </w:rPr>
            </w:pPr>
            <w:r>
              <w:rPr>
                <w:rFonts w:hint="eastAsia" w:ascii="仿宋_GB2312" w:eastAsia="仿宋_GB2312"/>
                <w:szCs w:val="21"/>
              </w:rPr>
              <w:t>农村公共服务</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9530">
            <w:pPr>
              <w:jc w:val="left"/>
              <w:rPr>
                <w:rFonts w:ascii="仿宋_GB2312" w:hAnsi="宋体" w:eastAsia="仿宋_GB2312" w:cs="宋体"/>
                <w:szCs w:val="21"/>
              </w:rPr>
            </w:pPr>
            <w:r>
              <w:rPr>
                <w:rFonts w:hint="eastAsia" w:ascii="仿宋_GB2312" w:eastAsia="仿宋_GB2312"/>
                <w:szCs w:val="21"/>
              </w:rPr>
              <w:t>其他（便民综合服务设施、文化活动广场、体育设施、村级客运站、农村公益性殡葬设施建设等）</w:t>
            </w:r>
          </w:p>
        </w:tc>
        <w:tc>
          <w:tcPr>
            <w:tcW w:w="1701" w:type="dxa"/>
            <w:vMerge w:val="restart"/>
            <w:tcBorders>
              <w:top w:val="single" w:color="000000" w:sz="4" w:space="0"/>
              <w:left w:val="single" w:color="000000" w:sz="4" w:space="0"/>
              <w:right w:val="single" w:color="000000" w:sz="4" w:space="0"/>
            </w:tcBorders>
            <w:shd w:val="clear" w:color="auto" w:fill="auto"/>
            <w:vAlign w:val="center"/>
          </w:tcPr>
          <w:p w14:paraId="4222F031">
            <w:pPr>
              <w:jc w:val="left"/>
              <w:rPr>
                <w:rFonts w:ascii="仿宋_GB2312" w:hAnsi="宋体" w:eastAsia="仿宋_GB2312" w:cs="宋体"/>
                <w:szCs w:val="21"/>
              </w:rPr>
            </w:pPr>
            <w:r>
              <w:rPr>
                <w:rFonts w:hint="eastAsia" w:ascii="仿宋_GB2312" w:eastAsia="仿宋_GB2312"/>
                <w:szCs w:val="21"/>
              </w:rPr>
              <w:t>长岭镇大华村</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1A18">
            <w:pPr>
              <w:jc w:val="left"/>
              <w:rPr>
                <w:rFonts w:ascii="仿宋_GB2312" w:eastAsia="仿宋_GB2312"/>
                <w:szCs w:val="21"/>
              </w:rPr>
            </w:pPr>
            <w:r>
              <w:rPr>
                <w:rFonts w:hint="eastAsia" w:ascii="仿宋_GB2312" w:eastAsia="仿宋_GB2312"/>
                <w:szCs w:val="21"/>
              </w:rPr>
              <w:t>新建文化广场1200余平方米。</w:t>
            </w:r>
          </w:p>
        </w:tc>
        <w:tc>
          <w:tcPr>
            <w:tcW w:w="1075" w:type="dxa"/>
            <w:vMerge w:val="restart"/>
            <w:tcBorders>
              <w:top w:val="single" w:color="auto" w:sz="4" w:space="0"/>
              <w:left w:val="single" w:color="000000" w:sz="4" w:space="0"/>
              <w:right w:val="single" w:color="000000" w:sz="4" w:space="0"/>
            </w:tcBorders>
            <w:shd w:val="clear" w:color="auto" w:fill="auto"/>
            <w:vAlign w:val="center"/>
          </w:tcPr>
          <w:p w14:paraId="6058D195">
            <w:pPr>
              <w:jc w:val="center"/>
              <w:rPr>
                <w:rFonts w:ascii="仿宋_GB2312" w:eastAsia="仿宋_GB2312"/>
                <w:szCs w:val="21"/>
              </w:rPr>
            </w:pPr>
            <w:r>
              <w:rPr>
                <w:rFonts w:hint="eastAsia" w:ascii="仿宋_GB2312" w:eastAsia="仿宋_GB2312"/>
                <w:szCs w:val="21"/>
              </w:rPr>
              <w:t>45</w:t>
            </w:r>
          </w:p>
        </w:tc>
      </w:tr>
      <w:tr w14:paraId="518C96E7">
        <w:tblPrEx>
          <w:tblCellMar>
            <w:top w:w="0" w:type="dxa"/>
            <w:left w:w="108" w:type="dxa"/>
            <w:bottom w:w="0" w:type="dxa"/>
            <w:right w:w="108" w:type="dxa"/>
          </w:tblCellMar>
        </w:tblPrEx>
        <w:trPr>
          <w:trHeight w:val="28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FD6D">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9</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D918">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21FA">
            <w:pPr>
              <w:jc w:val="left"/>
              <w:rPr>
                <w:rFonts w:ascii="仿宋_GB2312" w:hAnsi="宋体" w:eastAsia="仿宋_GB2312" w:cs="宋体"/>
                <w:szCs w:val="21"/>
              </w:rPr>
            </w:pPr>
            <w:r>
              <w:rPr>
                <w:rFonts w:hint="eastAsia" w:ascii="仿宋_GB2312" w:eastAsia="仿宋_GB2312"/>
                <w:szCs w:val="21"/>
              </w:rPr>
              <w:t>农村公共服务</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81AF">
            <w:pPr>
              <w:jc w:val="left"/>
              <w:rPr>
                <w:rFonts w:ascii="仿宋_GB2312" w:hAnsi="宋体" w:eastAsia="仿宋_GB2312" w:cs="宋体"/>
                <w:szCs w:val="21"/>
              </w:rPr>
            </w:pPr>
            <w:r>
              <w:rPr>
                <w:rFonts w:hint="eastAsia" w:ascii="仿宋_GB2312" w:eastAsia="仿宋_GB2312"/>
                <w:szCs w:val="21"/>
              </w:rPr>
              <w:t>公共照明设施</w:t>
            </w:r>
          </w:p>
        </w:tc>
        <w:tc>
          <w:tcPr>
            <w:tcW w:w="1701" w:type="dxa"/>
            <w:vMerge w:val="continue"/>
            <w:tcBorders>
              <w:left w:val="single" w:color="000000" w:sz="4" w:space="0"/>
              <w:right w:val="single" w:color="000000" w:sz="4" w:space="0"/>
            </w:tcBorders>
            <w:shd w:val="clear" w:color="auto" w:fill="auto"/>
            <w:vAlign w:val="center"/>
          </w:tcPr>
          <w:p w14:paraId="471A5BFA">
            <w:pPr>
              <w:widowControl/>
              <w:jc w:val="left"/>
              <w:textAlignment w:val="center"/>
              <w:rPr>
                <w:rFonts w:ascii="仿宋_GB2312" w:hAnsi="宋体" w:eastAsia="仿宋_GB2312"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E4C4">
            <w:pPr>
              <w:jc w:val="left"/>
              <w:rPr>
                <w:rFonts w:ascii="仿宋_GB2312" w:eastAsia="仿宋_GB2312"/>
                <w:szCs w:val="21"/>
              </w:rPr>
            </w:pPr>
            <w:r>
              <w:rPr>
                <w:rFonts w:hint="eastAsia" w:ascii="仿宋_GB2312" w:eastAsia="仿宋_GB2312"/>
                <w:szCs w:val="21"/>
              </w:rPr>
              <w:t>新建路灯60盏。</w:t>
            </w:r>
          </w:p>
        </w:tc>
        <w:tc>
          <w:tcPr>
            <w:tcW w:w="1075" w:type="dxa"/>
            <w:vMerge w:val="continue"/>
            <w:tcBorders>
              <w:left w:val="single" w:color="000000" w:sz="4" w:space="0"/>
              <w:right w:val="single" w:color="000000" w:sz="4" w:space="0"/>
            </w:tcBorders>
            <w:shd w:val="clear" w:color="auto" w:fill="auto"/>
            <w:vAlign w:val="center"/>
          </w:tcPr>
          <w:p w14:paraId="0700E177">
            <w:pPr>
              <w:jc w:val="center"/>
              <w:rPr>
                <w:rFonts w:ascii="仿宋_GB2312" w:eastAsia="仿宋_GB2312"/>
                <w:szCs w:val="21"/>
                <w:highlight w:val="yellow"/>
              </w:rPr>
            </w:pPr>
          </w:p>
        </w:tc>
      </w:tr>
      <w:tr w14:paraId="25851271">
        <w:tblPrEx>
          <w:tblCellMar>
            <w:top w:w="0" w:type="dxa"/>
            <w:left w:w="108" w:type="dxa"/>
            <w:bottom w:w="0" w:type="dxa"/>
            <w:right w:w="108" w:type="dxa"/>
          </w:tblCellMar>
        </w:tblPrEx>
        <w:trPr>
          <w:trHeight w:val="416"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1CE9">
            <w:pPr>
              <w:widowControl/>
              <w:jc w:val="center"/>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10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7770">
            <w:pPr>
              <w:widowControl/>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乡村建设行动</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05F9">
            <w:pPr>
              <w:jc w:val="left"/>
              <w:rPr>
                <w:rFonts w:ascii="仿宋_GB2312" w:hAnsi="宋体" w:eastAsia="仿宋_GB2312" w:cs="宋体"/>
                <w:szCs w:val="21"/>
              </w:rPr>
            </w:pPr>
            <w:r>
              <w:rPr>
                <w:rFonts w:hint="eastAsia" w:ascii="仿宋_GB2312" w:eastAsia="仿宋_GB2312"/>
                <w:szCs w:val="21"/>
              </w:rPr>
              <w:t>农村基础设施（含产业配套基础设备）</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65D2">
            <w:pPr>
              <w:jc w:val="left"/>
              <w:rPr>
                <w:rFonts w:ascii="仿宋_GB2312" w:hAnsi="宋体" w:eastAsia="仿宋_GB2312" w:cs="宋体"/>
                <w:szCs w:val="21"/>
              </w:rPr>
            </w:pPr>
            <w:r>
              <w:rPr>
                <w:rFonts w:hint="eastAsia" w:ascii="仿宋_GB2312" w:eastAsia="仿宋_GB2312"/>
                <w:szCs w:val="21"/>
              </w:rPr>
              <w:t>其他</w:t>
            </w:r>
          </w:p>
        </w:tc>
        <w:tc>
          <w:tcPr>
            <w:tcW w:w="1701" w:type="dxa"/>
            <w:vMerge w:val="continue"/>
            <w:tcBorders>
              <w:left w:val="single" w:color="000000" w:sz="4" w:space="0"/>
              <w:bottom w:val="single" w:color="000000" w:sz="4" w:space="0"/>
              <w:right w:val="single" w:color="000000" w:sz="4" w:space="0"/>
            </w:tcBorders>
            <w:shd w:val="clear" w:color="auto" w:fill="auto"/>
            <w:vAlign w:val="center"/>
          </w:tcPr>
          <w:p w14:paraId="3C2770D8">
            <w:pPr>
              <w:widowControl/>
              <w:jc w:val="left"/>
              <w:textAlignment w:val="center"/>
              <w:rPr>
                <w:rFonts w:ascii="仿宋_GB2312" w:hAnsi="宋体" w:eastAsia="仿宋_GB2312"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6356">
            <w:pPr>
              <w:jc w:val="left"/>
              <w:rPr>
                <w:rFonts w:ascii="仿宋_GB2312" w:eastAsia="仿宋_GB2312"/>
                <w:szCs w:val="21"/>
              </w:rPr>
            </w:pPr>
            <w:r>
              <w:rPr>
                <w:rFonts w:hint="eastAsia" w:ascii="仿宋_GB2312" w:eastAsia="仿宋_GB2312"/>
                <w:szCs w:val="21"/>
              </w:rPr>
              <w:t>新建浆砌石排水沟300米，断面1米，高1.5米。</w:t>
            </w:r>
          </w:p>
        </w:tc>
        <w:tc>
          <w:tcPr>
            <w:tcW w:w="1075" w:type="dxa"/>
            <w:vMerge w:val="continue"/>
            <w:tcBorders>
              <w:left w:val="single" w:color="000000" w:sz="4" w:space="0"/>
              <w:bottom w:val="single" w:color="000000" w:sz="4" w:space="0"/>
              <w:right w:val="single" w:color="000000" w:sz="4" w:space="0"/>
            </w:tcBorders>
            <w:shd w:val="clear" w:color="auto" w:fill="auto"/>
            <w:vAlign w:val="center"/>
          </w:tcPr>
          <w:p w14:paraId="545288D8">
            <w:pPr>
              <w:jc w:val="center"/>
              <w:rPr>
                <w:rFonts w:ascii="仿宋_GB2312" w:eastAsia="仿宋_GB2312"/>
                <w:szCs w:val="21"/>
                <w:highlight w:val="yellow"/>
              </w:rPr>
            </w:pPr>
          </w:p>
        </w:tc>
      </w:tr>
      <w:bookmarkEnd w:id="8"/>
    </w:tbl>
    <w:p w14:paraId="2A8A1D25">
      <w:pPr>
        <w:widowControl/>
        <w:ind w:firstLine="525" w:firstLineChars="250"/>
        <w:jc w:val="left"/>
        <w:textAlignment w:val="center"/>
        <w:rPr>
          <w:rFonts w:ascii="仿宋_GB2312" w:hAnsi="宋体" w:eastAsia="仿宋_GB2312" w:cs="宋体"/>
          <w:color w:val="000000"/>
          <w:szCs w:val="21"/>
        </w:rPr>
      </w:pPr>
      <w:r>
        <w:rPr>
          <w:rFonts w:hint="eastAsia" w:ascii="仿宋_GB2312" w:hAnsi="宋体" w:eastAsia="仿宋_GB2312" w:cs="宋体"/>
          <w:color w:val="000000"/>
          <w:szCs w:val="21"/>
        </w:rPr>
        <w:t xml:space="preserve">                                                                                              合计                   390</w:t>
      </w: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B1F4FD9"/>
    <w:rsid w:val="000453F9"/>
    <w:rsid w:val="00093FF6"/>
    <w:rsid w:val="00134E1D"/>
    <w:rsid w:val="00152E4B"/>
    <w:rsid w:val="001916BF"/>
    <w:rsid w:val="001A6D64"/>
    <w:rsid w:val="002364D6"/>
    <w:rsid w:val="0027685D"/>
    <w:rsid w:val="002E4C13"/>
    <w:rsid w:val="003201E9"/>
    <w:rsid w:val="00347EA6"/>
    <w:rsid w:val="00426EE6"/>
    <w:rsid w:val="004C2613"/>
    <w:rsid w:val="004C6872"/>
    <w:rsid w:val="00592BA9"/>
    <w:rsid w:val="005A2B4F"/>
    <w:rsid w:val="005A46EA"/>
    <w:rsid w:val="005A57C1"/>
    <w:rsid w:val="005B5007"/>
    <w:rsid w:val="005C570D"/>
    <w:rsid w:val="00662F9E"/>
    <w:rsid w:val="006D12A6"/>
    <w:rsid w:val="00721EC4"/>
    <w:rsid w:val="007A5311"/>
    <w:rsid w:val="00830828"/>
    <w:rsid w:val="008642BA"/>
    <w:rsid w:val="0089152B"/>
    <w:rsid w:val="008B01AE"/>
    <w:rsid w:val="008C5145"/>
    <w:rsid w:val="00940B9E"/>
    <w:rsid w:val="00955A0E"/>
    <w:rsid w:val="00957414"/>
    <w:rsid w:val="009C0A38"/>
    <w:rsid w:val="009F4E16"/>
    <w:rsid w:val="00A44AE7"/>
    <w:rsid w:val="00A552F7"/>
    <w:rsid w:val="00A62353"/>
    <w:rsid w:val="00AF1D5B"/>
    <w:rsid w:val="00B25C65"/>
    <w:rsid w:val="00B30C7D"/>
    <w:rsid w:val="00B6197A"/>
    <w:rsid w:val="00B759E4"/>
    <w:rsid w:val="00B944B4"/>
    <w:rsid w:val="00B95FF7"/>
    <w:rsid w:val="00C12B64"/>
    <w:rsid w:val="00C262EC"/>
    <w:rsid w:val="00CE6F89"/>
    <w:rsid w:val="00D06CF6"/>
    <w:rsid w:val="00D2037A"/>
    <w:rsid w:val="00D43C06"/>
    <w:rsid w:val="00E849D3"/>
    <w:rsid w:val="00EB016F"/>
    <w:rsid w:val="00ED1A39"/>
    <w:rsid w:val="00F97830"/>
    <w:rsid w:val="23496969"/>
    <w:rsid w:val="248D4BFE"/>
    <w:rsid w:val="31C204AF"/>
    <w:rsid w:val="4B1F4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cs="黑体"/>
      <w:sz w:val="18"/>
      <w:szCs w:val="18"/>
    </w:rPr>
  </w:style>
  <w:style w:type="paragraph" w:styleId="5">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D6A600-C630-489F-AF82-628CECB532E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2244</Words>
  <Characters>2337</Characters>
  <Lines>18</Lines>
  <Paragraphs>5</Paragraphs>
  <TotalTime>138</TotalTime>
  <ScaleCrop>false</ScaleCrop>
  <LinksUpToDate>false</LinksUpToDate>
  <CharactersWithSpaces>2503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2025-05-19T01:57:00Z</dcterms:created>
  <dc:creator>闰土</dc:creator>
  <cp:lastModifiedBy>聽謌、詻↓眼涙</cp:lastModifiedBy>
  <cp:lastPrinted>2025-05-26T02:55:00Z</cp:lastPrinted>
  <dcterms:modified xsi:type="dcterms:W3CDTF">2025-06-05T05:46:59Z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B195FECC751D49119DE42C97F7CB629B_11</vt:lpwstr>
  </property>
  <property fmtid="{D5CDD505-2E9C-101B-9397-08002B2CF9AE}" pid="4" name="KSOTemplateDocerSaveRecord">
    <vt:lpwstr>eyJoZGlkIjoiZGU2OTgxZTg5YTY0NzliMDBkYjczOTBkNzUyM2JkODciLCJ1c2VySWQiOiIyNjg0MzMwMTYifQ==</vt:lpwstr>
  </property>
</Properties>
</file>